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randwick-profile"/>
    <w:p>
      <w:pPr>
        <w:pStyle w:val="Heading1"/>
      </w:pPr>
      <w:r>
        <w:t xml:space="preserve">Randwick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36 sqkm          </w:t>
      </w:r>
      <w:r>
        <w:rPr>
          <w:bCs/>
          <w:b/>
        </w:rPr>
        <w:t xml:space="preserve">Population:</w:t>
      </w:r>
      <w:r>
        <w:t xml:space="preserve"> </w:t>
      </w:r>
      <w:r>
        <w:t xml:space="preserve">141,840          </w:t>
      </w:r>
      <w:r>
        <w:rPr>
          <w:bCs/>
          <w:b/>
        </w:rPr>
        <w:t xml:space="preserve">Major Town:</w:t>
      </w:r>
      <w:r>
        <w:t xml:space="preserve"> </w:t>
      </w:r>
      <w:r>
        <w:t xml:space="preserve">Randwick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86,626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Randwick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$67,516          </w:t>
      </w:r>
      <w:r>
        <w:rPr>
          <w:bCs/>
          <w:b/>
        </w:rPr>
        <w:t xml:space="preserve">Gross Regional Product:</w:t>
      </w:r>
      <w:r>
        <w:t xml:space="preserve"> </w:t>
      </w:r>
      <w:r>
        <w:t xml:space="preserve">$9,976 Million          </w:t>
      </w:r>
      <w:r>
        <w:rPr>
          <w:bCs/>
          <w:b/>
        </w:rPr>
        <w:t xml:space="preserve">Employed Residents:</w:t>
      </w:r>
      <w:r>
        <w:t xml:space="preserve"> </w:t>
      </w:r>
      <w:r>
        <w:t xml:space="preserve">77,171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11,338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5,196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4,584</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28,140</w:t>
            </w:r>
          </w:p>
        </w:tc>
      </w:tr>
    </w:tbl>
    <w:bookmarkStart w:id="29" w:name="section-4"/>
    <w:p>
      <w:pPr>
        <w:pStyle w:val="Heading5"/>
      </w:pPr>
    </w:p>
    <w:bookmarkEnd w:id="29"/>
    <w:bookmarkStart w:id="30" w:name="section-5"/>
    <w:p>
      <w:pPr>
        <w:pStyle w:val="Heading5"/>
      </w:pPr>
    </w:p>
    <w:bookmarkEnd w:id="30"/>
    <w:bookmarkEnd w:id="31"/>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98,285.96</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72,200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7,254,600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21,064</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163,927</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13,562,620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2025-03-06T05:24:28Z</dcterms:created>
  <dcterms:modified xsi:type="dcterms:W3CDTF">2025-03-06T05:24:28Z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